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086" w:rsidRPr="00105086" w:rsidRDefault="00BE6157" w:rsidP="00105086">
      <w:pPr>
        <w:pStyle w:val="NormaleWeb"/>
        <w:spacing w:before="0" w:beforeAutospacing="0" w:after="180" w:afterAutospacing="0"/>
        <w:rPr>
          <w:rFonts w:ascii="Verdana" w:hAnsi="Verdana"/>
          <w:b/>
          <w:sz w:val="18"/>
          <w:szCs w:val="18"/>
        </w:rPr>
      </w:pPr>
      <w:r w:rsidRPr="00BE6157">
        <w:rPr>
          <w:noProof/>
        </w:rPr>
        <w:drawing>
          <wp:inline distT="0" distB="0" distL="0" distR="0">
            <wp:extent cx="9810750" cy="5895975"/>
            <wp:effectExtent l="19050" t="0" r="0" b="0"/>
            <wp:docPr id="8" name="Ogget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688426" cy="14525626"/>
                      <a:chOff x="-6272213" y="-3833813"/>
                      <a:chExt cx="21688426" cy="14525626"/>
                    </a:xfrm>
                  </a:grpSpPr>
                  <a:sp>
                    <a:nvSpPr>
                      <a:cNvPr id="2" name="Titolo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it-IT" dirty="0"/>
                        </a:p>
                      </a:txBody>
                      <a:useSpRect/>
                    </a:txSp>
                  </a:sp>
                  <a:sp>
                    <a:nvSpPr>
                      <a:cNvPr id="3" name="Sottotitolo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it-IT"/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C:\Users\Administrator\Desktop\Inkedm_LI.jpg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6272213" y="-3833813"/>
                        <a:ext cx="21688426" cy="1452562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Rettangolo 4"/>
                      <a:cNvSpPr/>
                    </a:nvSpPr>
                    <a:spPr>
                      <a:xfrm>
                        <a:off x="-5786510" y="4667730"/>
                        <a:ext cx="1143008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it-IT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it-IT" sz="2400" b="1" dirty="0" smtClean="0"/>
                            <a:t>FOTO:</a:t>
                          </a:r>
                          <a:endParaRPr lang="it-IT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105086" w:rsidRPr="00105086">
        <w:rPr>
          <w:rFonts w:ascii="Verdana" w:hAnsi="Verdana"/>
          <w:b/>
        </w:rPr>
        <w:t xml:space="preserve"> </w:t>
      </w:r>
      <w:r w:rsidR="00105086">
        <w:rPr>
          <w:rFonts w:ascii="Verdana" w:hAnsi="Verdana"/>
          <w:b/>
        </w:rPr>
        <w:t xml:space="preserve">                     </w:t>
      </w:r>
      <w:r w:rsidR="00105086" w:rsidRPr="00105086">
        <w:rPr>
          <w:rFonts w:ascii="Verdana" w:hAnsi="Verdana"/>
          <w:b/>
          <w:sz w:val="18"/>
          <w:szCs w:val="18"/>
        </w:rPr>
        <w:t>IDEE PER LA SOSTA</w:t>
      </w:r>
      <w:r w:rsidR="00105086">
        <w:rPr>
          <w:rFonts w:ascii="Verdana" w:hAnsi="Verdana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105086" w:rsidRPr="00105086">
        <w:rPr>
          <w:rFonts w:ascii="Verdana" w:hAnsi="Verdana"/>
          <w:b/>
          <w:sz w:val="18"/>
          <w:szCs w:val="18"/>
        </w:rPr>
        <w:t>Certosa di Pavia</w:t>
      </w:r>
      <w:r w:rsidR="00105086">
        <w:rPr>
          <w:rFonts w:ascii="Verdana" w:hAnsi="Verdana"/>
          <w:b/>
          <w:sz w:val="18"/>
          <w:szCs w:val="18"/>
        </w:rPr>
        <w:t xml:space="preserve"> </w:t>
      </w:r>
      <w:r w:rsidR="00105086" w:rsidRPr="00105086">
        <w:rPr>
          <w:rFonts w:ascii="Verdana" w:hAnsi="Verdana"/>
          <w:sz w:val="18"/>
          <w:szCs w:val="18"/>
        </w:rPr>
        <w:t xml:space="preserve">Curiosa la storia della Certosa: edificata come ex voto per volere di Gian Galeazzo Visconti, signore di Milano, fu affidata prima alla comunità certosina, poi a quella cistercense e, infine, a quella benedettina. Da non perdere all’interno: la pietra tombale di Ludovico il Moro e Beatrice D’Este, gli affreschi e il chiostro piccolo. Per informazioni e prenotazioni: </w:t>
      </w:r>
      <w:hyperlink r:id="rId5" w:history="1">
        <w:r w:rsidR="00105086" w:rsidRPr="00105086">
          <w:rPr>
            <w:rStyle w:val="Collegamentoipertestuale"/>
            <w:rFonts w:ascii="Verdana" w:hAnsi="Verdana"/>
            <w:sz w:val="18"/>
            <w:szCs w:val="18"/>
          </w:rPr>
          <w:t>www.certosadipavia.com</w:t>
        </w:r>
      </w:hyperlink>
      <w:r w:rsidR="00105086">
        <w:rPr>
          <w:rFonts w:ascii="Verdana" w:hAnsi="Verdana"/>
          <w:sz w:val="18"/>
          <w:szCs w:val="18"/>
        </w:rPr>
        <w:t xml:space="preserve">  </w:t>
      </w:r>
      <w:r w:rsidR="00105086" w:rsidRPr="00105086">
        <w:rPr>
          <w:rFonts w:ascii="Verdana" w:hAnsi="Verdana"/>
          <w:b/>
          <w:sz w:val="18"/>
          <w:szCs w:val="18"/>
        </w:rPr>
        <w:t>Il sistema delle chiuse</w:t>
      </w:r>
      <w:r w:rsidR="00105086">
        <w:rPr>
          <w:rFonts w:ascii="Verdana" w:hAnsi="Verdana"/>
          <w:b/>
          <w:sz w:val="18"/>
          <w:szCs w:val="18"/>
        </w:rPr>
        <w:t xml:space="preserve"> </w:t>
      </w:r>
      <w:r w:rsidR="00105086" w:rsidRPr="00105086">
        <w:rPr>
          <w:rFonts w:ascii="Verdana" w:hAnsi="Verdana"/>
          <w:sz w:val="18"/>
          <w:szCs w:val="18"/>
        </w:rPr>
        <w:t>Le chiuse idrauliche permettevano la navigazione del Naviglio in entrambe le direzioni, facendone una vera e propria autostrada sull’acqua. Grazie a un sistema composto da 12 conche le imbarcazioni riuscivano a entrare a Milano superando il dislivello di 56 metri che c’è tra la darsena di porta Ticinese e il Ticino.</w:t>
      </w:r>
      <w:r w:rsidR="00105086">
        <w:rPr>
          <w:rFonts w:ascii="Verdana" w:hAnsi="Verdana"/>
          <w:sz w:val="18"/>
          <w:szCs w:val="18"/>
        </w:rPr>
        <w:t xml:space="preserve"> </w:t>
      </w:r>
      <w:r w:rsidR="00105086" w:rsidRPr="00105086">
        <w:rPr>
          <w:rFonts w:ascii="Verdana" w:hAnsi="Verdana"/>
          <w:b/>
          <w:sz w:val="18"/>
          <w:szCs w:val="18"/>
        </w:rPr>
        <w:t>Il ponte sul Ticino</w:t>
      </w:r>
      <w:r w:rsidR="00105086">
        <w:rPr>
          <w:rFonts w:ascii="Verdana" w:hAnsi="Verdana"/>
          <w:b/>
          <w:sz w:val="18"/>
          <w:szCs w:val="18"/>
        </w:rPr>
        <w:t xml:space="preserve"> </w:t>
      </w:r>
      <w:r w:rsidR="00105086" w:rsidRPr="00105086">
        <w:rPr>
          <w:rFonts w:ascii="Verdana" w:hAnsi="Verdana"/>
          <w:sz w:val="18"/>
          <w:szCs w:val="18"/>
        </w:rPr>
        <w:t>Il centro di Pavia e il quartiere Borgo Ticino, un tempo all’esterno delle mura cittadine, erano collegati dal Ponte Coperto (chiamato anche Ponte Vecchio), che oggi è uno dei simboli della città. L’originale risale al XIV secolo ma nel Secondo Dopoguerra fu abbattuto e, quindi, ricostruito (in realtà non nella stessa posizione, bensì 30 metri più a valle).</w:t>
      </w:r>
    </w:p>
    <w:sectPr w:rsidR="00105086" w:rsidRPr="00105086" w:rsidSect="00105086">
      <w:pgSz w:w="16838" w:h="11906" w:orient="landscape"/>
      <w:pgMar w:top="284" w:right="397" w:bottom="284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E6157"/>
    <w:rsid w:val="00105086"/>
    <w:rsid w:val="001A42B8"/>
    <w:rsid w:val="007723EE"/>
    <w:rsid w:val="00863C67"/>
    <w:rsid w:val="00BE6157"/>
    <w:rsid w:val="00DA0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23EE"/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050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6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6157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0508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Collegamentoipertestuale">
    <w:name w:val="Hyperlink"/>
    <w:basedOn w:val="Carpredefinitoparagrafo"/>
    <w:uiPriority w:val="99"/>
    <w:semiHidden/>
    <w:unhideWhenUsed/>
    <w:rsid w:val="00105086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105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ertosadipavia.com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2019-07-23T11:38:00Z</dcterms:created>
  <dcterms:modified xsi:type="dcterms:W3CDTF">2019-07-23T11:57:00Z</dcterms:modified>
</cp:coreProperties>
</file>